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30" w:rsidRDefault="00CE5AF4" w:rsidP="00961E3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343025" cy="1352550"/>
            <wp:effectExtent l="19050" t="0" r="9525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30" w:rsidRPr="00961E30" w:rsidRDefault="00961E30" w:rsidP="00961E30">
      <w:pPr>
        <w:jc w:val="center"/>
        <w:rPr>
          <w:rFonts w:ascii="Trajan Pro" w:hAnsi="Trajan Pro"/>
          <w:b/>
        </w:rPr>
      </w:pPr>
      <w:r w:rsidRPr="00961E30">
        <w:rPr>
          <w:rFonts w:ascii="Trajan Pro" w:hAnsi="Trajan Pro"/>
          <w:b/>
        </w:rPr>
        <w:t>PARLIAMENTARIANS AGAINST HUMAN TRAFFICKING</w:t>
      </w:r>
    </w:p>
    <w:p w:rsidR="009236E5" w:rsidRDefault="005651DD" w:rsidP="009236E5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>GOOD PRACTICE EXCHANGE</w:t>
      </w:r>
    </w:p>
    <w:p w:rsidR="005651DD" w:rsidRPr="009236E5" w:rsidRDefault="005651DD" w:rsidP="009236E5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>THE HAGUE, NETHERLANDS</w:t>
      </w:r>
    </w:p>
    <w:p w:rsidR="009236E5" w:rsidRDefault="00885826" w:rsidP="009236E5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>THURSDAY 26 JANUARY 2012</w:t>
      </w:r>
    </w:p>
    <w:p w:rsidR="005651DD" w:rsidRPr="009236E5" w:rsidRDefault="005651DD" w:rsidP="009236E5">
      <w:pPr>
        <w:jc w:val="center"/>
        <w:rPr>
          <w:rFonts w:ascii="Trajan Pro" w:hAnsi="Trajan Pro"/>
          <w:b/>
          <w:u w:val="single"/>
        </w:rPr>
      </w:pPr>
    </w:p>
    <w:p w:rsidR="009236E5" w:rsidRDefault="005651DD" w:rsidP="009236E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Wednesday</w:t>
      </w:r>
      <w:r w:rsidR="00885826">
        <w:rPr>
          <w:b/>
          <w:sz w:val="24"/>
          <w:szCs w:val="24"/>
          <w:u w:val="single"/>
        </w:rPr>
        <w:t xml:space="preserve"> 25 January 2012 </w:t>
      </w:r>
    </w:p>
    <w:p w:rsidR="002972CC" w:rsidRPr="002972CC" w:rsidRDefault="002972CC" w:rsidP="002972CC">
      <w:pPr>
        <w:pStyle w:val="NoSpacing"/>
        <w:rPr>
          <w:b/>
          <w:i/>
          <w:sz w:val="24"/>
          <w:szCs w:val="24"/>
        </w:rPr>
      </w:pPr>
      <w:r w:rsidRPr="002972CC">
        <w:rPr>
          <w:b/>
          <w:i/>
          <w:sz w:val="24"/>
          <w:szCs w:val="24"/>
        </w:rPr>
        <w:t xml:space="preserve">Carlton Ambassador </w:t>
      </w:r>
      <w:r w:rsidR="00015BF5" w:rsidRPr="002972CC">
        <w:rPr>
          <w:b/>
          <w:i/>
          <w:sz w:val="24"/>
          <w:szCs w:val="24"/>
        </w:rPr>
        <w:t>Hotel, The Hague</w:t>
      </w:r>
    </w:p>
    <w:p w:rsidR="00D4001D" w:rsidRPr="00D4001D" w:rsidRDefault="002972CC" w:rsidP="002972CC">
      <w:pPr>
        <w:rPr>
          <w:rFonts w:ascii="Verdana" w:hAnsi="Verdana"/>
          <w:i/>
          <w:sz w:val="17"/>
          <w:szCs w:val="17"/>
        </w:rPr>
      </w:pPr>
      <w:proofErr w:type="spellStart"/>
      <w:r w:rsidRPr="002972CC">
        <w:rPr>
          <w:rFonts w:ascii="Verdana" w:hAnsi="Verdana"/>
          <w:i/>
          <w:sz w:val="17"/>
          <w:szCs w:val="17"/>
        </w:rPr>
        <w:t>Sophialaan</w:t>
      </w:r>
      <w:proofErr w:type="spellEnd"/>
      <w:r w:rsidRPr="002972CC">
        <w:rPr>
          <w:rFonts w:ascii="Verdana" w:hAnsi="Verdana"/>
          <w:i/>
          <w:sz w:val="17"/>
          <w:szCs w:val="17"/>
        </w:rPr>
        <w:t xml:space="preserve"> 2 - 2514 JP The Hague - The Netherlands</w:t>
      </w:r>
    </w:p>
    <w:p w:rsidR="005651DD" w:rsidRPr="005651DD" w:rsidRDefault="00885826" w:rsidP="002972CC">
      <w:pPr>
        <w:rPr>
          <w:b/>
        </w:rPr>
      </w:pPr>
      <w:r w:rsidRPr="005651DD">
        <w:rPr>
          <w:b/>
        </w:rPr>
        <w:t>19</w:t>
      </w:r>
      <w:r w:rsidR="005651DD">
        <w:rPr>
          <w:b/>
        </w:rPr>
        <w:t>:</w:t>
      </w:r>
      <w:r w:rsidR="008C4931" w:rsidRPr="005651DD">
        <w:rPr>
          <w:b/>
        </w:rPr>
        <w:t>00</w:t>
      </w:r>
      <w:r w:rsidRPr="005651DD">
        <w:rPr>
          <w:b/>
        </w:rPr>
        <w:t xml:space="preserve"> – 20</w:t>
      </w:r>
      <w:r w:rsidR="005651DD">
        <w:rPr>
          <w:b/>
        </w:rPr>
        <w:t>:</w:t>
      </w:r>
      <w:r w:rsidR="008C4931" w:rsidRPr="005651DD">
        <w:rPr>
          <w:b/>
        </w:rPr>
        <w:t>00</w:t>
      </w:r>
      <w:r w:rsidRPr="005651DD">
        <w:rPr>
          <w:b/>
        </w:rPr>
        <w:tab/>
      </w:r>
      <w:r w:rsidRPr="005651DD">
        <w:rPr>
          <w:b/>
        </w:rPr>
        <w:tab/>
        <w:t>Networking reception</w:t>
      </w:r>
    </w:p>
    <w:p w:rsidR="00452953" w:rsidRDefault="005651DD" w:rsidP="009236E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Thursday </w:t>
      </w:r>
      <w:r w:rsidR="00452953">
        <w:rPr>
          <w:b/>
          <w:sz w:val="24"/>
          <w:szCs w:val="24"/>
          <w:u w:val="single"/>
        </w:rPr>
        <w:t>26 January 2012</w:t>
      </w:r>
    </w:p>
    <w:p w:rsidR="002972CC" w:rsidRPr="002972CC" w:rsidRDefault="002972CC" w:rsidP="009236E5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Eerste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Kamer</w:t>
      </w:r>
      <w:proofErr w:type="spellEnd"/>
      <w:r>
        <w:rPr>
          <w:b/>
          <w:i/>
          <w:sz w:val="24"/>
          <w:szCs w:val="24"/>
        </w:rPr>
        <w:t xml:space="preserve"> der Staten-</w:t>
      </w:r>
      <w:proofErr w:type="spellStart"/>
      <w:r>
        <w:rPr>
          <w:b/>
          <w:i/>
          <w:sz w:val="24"/>
          <w:szCs w:val="24"/>
        </w:rPr>
        <w:t>Generaal</w:t>
      </w:r>
      <w:proofErr w:type="spellEnd"/>
      <w:r w:rsidR="00015BF5" w:rsidRPr="002972CC">
        <w:rPr>
          <w:b/>
          <w:i/>
          <w:sz w:val="24"/>
          <w:szCs w:val="24"/>
        </w:rPr>
        <w:t>, Parliament of the Netherlands, The Hague</w:t>
      </w:r>
      <w:r>
        <w:rPr>
          <w:rFonts w:ascii="Verdana" w:hAnsi="Verdana"/>
          <w:sz w:val="17"/>
          <w:szCs w:val="17"/>
        </w:rPr>
        <w:br/>
      </w:r>
      <w:proofErr w:type="spellStart"/>
      <w:r w:rsidRPr="002972CC">
        <w:rPr>
          <w:rFonts w:ascii="Verdana" w:hAnsi="Verdana"/>
          <w:i/>
          <w:sz w:val="17"/>
          <w:szCs w:val="17"/>
        </w:rPr>
        <w:t>Binnenhof</w:t>
      </w:r>
      <w:proofErr w:type="spellEnd"/>
      <w:r w:rsidRPr="002972CC">
        <w:rPr>
          <w:rFonts w:ascii="Verdana" w:hAnsi="Verdana"/>
          <w:i/>
          <w:sz w:val="17"/>
          <w:szCs w:val="17"/>
        </w:rPr>
        <w:t xml:space="preserve"> 22  - P.O. Box 20017  - 2500 EA Den Haag</w:t>
      </w:r>
    </w:p>
    <w:p w:rsidR="009236E5" w:rsidRDefault="003A5766" w:rsidP="009236E5">
      <w:pPr>
        <w:rPr>
          <w:b/>
        </w:rPr>
      </w:pPr>
      <w:r>
        <w:rPr>
          <w:b/>
        </w:rPr>
        <w:t>8</w:t>
      </w:r>
      <w:r w:rsidR="009236E5" w:rsidRPr="009236E5">
        <w:rPr>
          <w:b/>
        </w:rPr>
        <w:t xml:space="preserve">:30 – </w:t>
      </w:r>
      <w:r>
        <w:rPr>
          <w:b/>
        </w:rPr>
        <w:t>9</w:t>
      </w:r>
      <w:r w:rsidR="009236E5" w:rsidRPr="009236E5">
        <w:rPr>
          <w:b/>
        </w:rPr>
        <w:t>:00</w:t>
      </w:r>
      <w:r w:rsidR="009236E5" w:rsidRPr="009236E5">
        <w:rPr>
          <w:b/>
        </w:rPr>
        <w:tab/>
      </w:r>
      <w:r w:rsidR="009236E5" w:rsidRPr="009236E5">
        <w:rPr>
          <w:b/>
        </w:rPr>
        <w:tab/>
        <w:t>Registration of participants</w:t>
      </w:r>
      <w:r w:rsidR="0037586B">
        <w:rPr>
          <w:b/>
        </w:rPr>
        <w:t xml:space="preserve">  </w:t>
      </w:r>
    </w:p>
    <w:p w:rsidR="00D31AE1" w:rsidRDefault="00CA2033" w:rsidP="009236E5">
      <w:pPr>
        <w:rPr>
          <w:b/>
        </w:rPr>
      </w:pPr>
      <w:r>
        <w:rPr>
          <w:b/>
        </w:rPr>
        <w:t>9:00 – 9:3</w:t>
      </w:r>
      <w:r w:rsidR="00885826">
        <w:rPr>
          <w:b/>
        </w:rPr>
        <w:t>0</w:t>
      </w:r>
      <w:r w:rsidR="009236E5" w:rsidRPr="009236E5">
        <w:rPr>
          <w:b/>
        </w:rPr>
        <w:tab/>
      </w:r>
      <w:r w:rsidR="009236E5" w:rsidRPr="009236E5">
        <w:rPr>
          <w:b/>
        </w:rPr>
        <w:tab/>
      </w:r>
      <w:r w:rsidR="00825B28">
        <w:rPr>
          <w:b/>
        </w:rPr>
        <w:t>Welcome and i</w:t>
      </w:r>
      <w:r w:rsidR="009236E5" w:rsidRPr="009236E5">
        <w:rPr>
          <w:b/>
        </w:rPr>
        <w:t xml:space="preserve">ntroduction </w:t>
      </w:r>
    </w:p>
    <w:p w:rsidR="00885826" w:rsidRPr="00885826" w:rsidRDefault="00D31AE1" w:rsidP="00D31AE1">
      <w:pPr>
        <w:ind w:left="1440" w:firstLine="720"/>
      </w:pPr>
      <w:r>
        <w:t xml:space="preserve">Senator Willem </w:t>
      </w:r>
      <w:proofErr w:type="spellStart"/>
      <w:r>
        <w:t>Bröcker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Netherlands              </w:t>
      </w:r>
      <w:r w:rsidR="00885826">
        <w:rPr>
          <w:b/>
        </w:rPr>
        <w:tab/>
      </w:r>
      <w:r w:rsidR="00885826">
        <w:rPr>
          <w:b/>
        </w:rPr>
        <w:tab/>
      </w:r>
      <w:r w:rsidR="00885826">
        <w:rPr>
          <w:b/>
        </w:rPr>
        <w:tab/>
      </w:r>
      <w:r w:rsidR="00885826" w:rsidRPr="00885826">
        <w:t>Anthony Steen, Human Trafficking Foundation</w:t>
      </w:r>
      <w:r>
        <w:t>, UK</w:t>
      </w:r>
    </w:p>
    <w:p w:rsidR="00885826" w:rsidRPr="00A96F8D" w:rsidRDefault="00885826" w:rsidP="009236E5">
      <w:r>
        <w:rPr>
          <w:b/>
        </w:rPr>
        <w:t>9:30 – 10</w:t>
      </w:r>
      <w:r w:rsidR="005651DD">
        <w:rPr>
          <w:b/>
        </w:rPr>
        <w:t>:</w:t>
      </w:r>
      <w:r w:rsidR="008C4931">
        <w:rPr>
          <w:b/>
        </w:rPr>
        <w:t>30</w:t>
      </w:r>
      <w:r>
        <w:rPr>
          <w:b/>
        </w:rPr>
        <w:tab/>
      </w:r>
      <w:r>
        <w:rPr>
          <w:b/>
        </w:rPr>
        <w:tab/>
        <w:t>Keynote speech:</w:t>
      </w:r>
    </w:p>
    <w:p w:rsidR="00FB3280" w:rsidRDefault="00FB3280" w:rsidP="00CA2033">
      <w:pPr>
        <w:numPr>
          <w:ilvl w:val="0"/>
          <w:numId w:val="1"/>
        </w:numPr>
        <w:rPr>
          <w:rFonts w:eastAsia="Times New Roman"/>
          <w:bCs/>
          <w:lang w:eastAsia="en-GB"/>
        </w:rPr>
      </w:pPr>
      <w:r>
        <w:rPr>
          <w:b/>
        </w:rPr>
        <w:t>The National Rapport</w:t>
      </w:r>
      <w:r w:rsidR="00885826">
        <w:rPr>
          <w:b/>
        </w:rPr>
        <w:t>e</w:t>
      </w:r>
      <w:r>
        <w:rPr>
          <w:b/>
        </w:rPr>
        <w:t>u</w:t>
      </w:r>
      <w:r w:rsidR="00885826">
        <w:rPr>
          <w:b/>
        </w:rPr>
        <w:t>r on Traffic</w:t>
      </w:r>
      <w:r>
        <w:rPr>
          <w:b/>
        </w:rPr>
        <w:t>k</w:t>
      </w:r>
      <w:r w:rsidR="00885826">
        <w:rPr>
          <w:b/>
        </w:rPr>
        <w:t>ing in Human Being</w:t>
      </w:r>
      <w:r>
        <w:rPr>
          <w:b/>
        </w:rPr>
        <w:t xml:space="preserve">. The Dutch experience.   </w:t>
      </w:r>
      <w:r w:rsidR="00212B63">
        <w:rPr>
          <w:b/>
        </w:rPr>
        <w:t>How the NR might</w:t>
      </w:r>
      <w:r w:rsidR="00CA2033">
        <w:rPr>
          <w:b/>
        </w:rPr>
        <w:t xml:space="preserve"> </w:t>
      </w:r>
      <w:r w:rsidR="0054655D">
        <w:rPr>
          <w:b/>
        </w:rPr>
        <w:t>enhance work</w:t>
      </w:r>
      <w:r w:rsidR="00CA2033">
        <w:rPr>
          <w:b/>
        </w:rPr>
        <w:t xml:space="preserve"> of MPs?</w:t>
      </w:r>
      <w:r>
        <w:rPr>
          <w:b/>
        </w:rPr>
        <w:t xml:space="preserve">                              </w:t>
      </w:r>
      <w:r w:rsidR="00CA2033" w:rsidRPr="00212B63">
        <w:t xml:space="preserve">Ms </w:t>
      </w:r>
      <w:r w:rsidRPr="00212B63">
        <w:rPr>
          <w:rFonts w:eastAsia="Times New Roman"/>
          <w:bCs/>
          <w:lang w:eastAsia="en-GB"/>
        </w:rPr>
        <w:t>C</w:t>
      </w:r>
      <w:r w:rsidRPr="00FB3280">
        <w:rPr>
          <w:rFonts w:eastAsia="Times New Roman"/>
          <w:bCs/>
          <w:lang w:eastAsia="en-GB"/>
        </w:rPr>
        <w:t xml:space="preserve">orinne </w:t>
      </w:r>
      <w:proofErr w:type="spellStart"/>
      <w:r w:rsidRPr="00FB3280">
        <w:rPr>
          <w:rFonts w:eastAsia="Times New Roman"/>
          <w:bCs/>
          <w:lang w:eastAsia="en-GB"/>
        </w:rPr>
        <w:t>Dettmeijer-Vermeulen</w:t>
      </w:r>
      <w:proofErr w:type="spellEnd"/>
      <w:r>
        <w:rPr>
          <w:rFonts w:eastAsia="Times New Roman"/>
          <w:bCs/>
          <w:lang w:eastAsia="en-GB"/>
        </w:rPr>
        <w:t xml:space="preserve">, </w:t>
      </w:r>
      <w:r w:rsidRPr="00FB3280">
        <w:rPr>
          <w:rFonts w:eastAsia="Times New Roman"/>
          <w:bCs/>
          <w:lang w:eastAsia="en-GB"/>
        </w:rPr>
        <w:t>Dutch National Rapporteur on Trafficking in Human Beings</w:t>
      </w:r>
    </w:p>
    <w:p w:rsidR="007A3EEF" w:rsidRDefault="007A3EEF" w:rsidP="007A3EEF">
      <w:pPr>
        <w:rPr>
          <w:rFonts w:eastAsia="Times New Roman"/>
          <w:bCs/>
          <w:lang w:eastAsia="en-GB"/>
        </w:rPr>
      </w:pPr>
    </w:p>
    <w:p w:rsidR="00CA2033" w:rsidRPr="007A3EEF" w:rsidRDefault="00212B63" w:rsidP="007A3EEF">
      <w:pPr>
        <w:numPr>
          <w:ilvl w:val="0"/>
          <w:numId w:val="1"/>
        </w:numPr>
        <w:rPr>
          <w:rFonts w:eastAsia="Times New Roman"/>
          <w:bCs/>
          <w:lang w:eastAsia="en-GB"/>
        </w:rPr>
      </w:pPr>
      <w:r w:rsidRPr="007A3EEF">
        <w:rPr>
          <w:b/>
        </w:rPr>
        <w:t xml:space="preserve">How MPs could </w:t>
      </w:r>
      <w:r w:rsidR="00CA2033" w:rsidRPr="007A3EEF">
        <w:rPr>
          <w:b/>
        </w:rPr>
        <w:t xml:space="preserve">benefit from the </w:t>
      </w:r>
      <w:r w:rsidRPr="007A3EEF">
        <w:rPr>
          <w:b/>
        </w:rPr>
        <w:t>O</w:t>
      </w:r>
      <w:r w:rsidR="00CA2033" w:rsidRPr="007A3EEF">
        <w:rPr>
          <w:b/>
        </w:rPr>
        <w:t>ffic</w:t>
      </w:r>
      <w:r w:rsidR="007C610A" w:rsidRPr="007A3EEF">
        <w:rPr>
          <w:b/>
        </w:rPr>
        <w:t>e of the National Rapporteu</w:t>
      </w:r>
      <w:r w:rsidR="004847F5" w:rsidRPr="007A3EEF">
        <w:rPr>
          <w:b/>
        </w:rPr>
        <w:t>r:</w:t>
      </w:r>
      <w:r w:rsidR="00CA2033" w:rsidRPr="007A3EEF">
        <w:rPr>
          <w:b/>
        </w:rPr>
        <w:t xml:space="preserve"> The Dutch Parliamentarians’ Experience.</w:t>
      </w:r>
    </w:p>
    <w:p w:rsidR="00CA2033" w:rsidRDefault="007C610A" w:rsidP="00CA2033">
      <w:pPr>
        <w:ind w:left="2565"/>
        <w:rPr>
          <w:rFonts w:eastAsia="Times New Roman"/>
          <w:bCs/>
          <w:lang w:eastAsia="en-GB"/>
        </w:rPr>
      </w:pPr>
      <w:proofErr w:type="spellStart"/>
      <w:r>
        <w:rPr>
          <w:rFonts w:eastAsia="Times New Roman"/>
          <w:bCs/>
          <w:lang w:eastAsia="en-GB"/>
        </w:rPr>
        <w:t>Ard</w:t>
      </w:r>
      <w:proofErr w:type="spellEnd"/>
      <w:r>
        <w:rPr>
          <w:rFonts w:eastAsia="Times New Roman"/>
          <w:bCs/>
          <w:lang w:eastAsia="en-GB"/>
        </w:rPr>
        <w:t xml:space="preserve"> Van Der </w:t>
      </w:r>
      <w:proofErr w:type="spellStart"/>
      <w:r>
        <w:rPr>
          <w:rFonts w:eastAsia="Times New Roman"/>
          <w:bCs/>
          <w:lang w:eastAsia="en-GB"/>
        </w:rPr>
        <w:t>Steur</w:t>
      </w:r>
      <w:proofErr w:type="spellEnd"/>
      <w:r>
        <w:rPr>
          <w:rFonts w:eastAsia="Times New Roman"/>
          <w:bCs/>
          <w:lang w:eastAsia="en-GB"/>
        </w:rPr>
        <w:t xml:space="preserve"> MP</w:t>
      </w:r>
      <w:r w:rsidR="00CA2033">
        <w:rPr>
          <w:rFonts w:eastAsia="Times New Roman"/>
          <w:bCs/>
          <w:lang w:eastAsia="en-GB"/>
        </w:rPr>
        <w:t xml:space="preserve">, </w:t>
      </w:r>
      <w:proofErr w:type="gramStart"/>
      <w:r w:rsidR="00212B63">
        <w:rPr>
          <w:rFonts w:eastAsia="Times New Roman"/>
          <w:bCs/>
          <w:lang w:eastAsia="en-GB"/>
        </w:rPr>
        <w:t>T</w:t>
      </w:r>
      <w:r w:rsidR="00CA2033">
        <w:rPr>
          <w:rFonts w:eastAsia="Times New Roman"/>
          <w:bCs/>
          <w:lang w:eastAsia="en-GB"/>
        </w:rPr>
        <w:t>he</w:t>
      </w:r>
      <w:proofErr w:type="gramEnd"/>
      <w:r w:rsidR="00CA2033">
        <w:rPr>
          <w:rFonts w:eastAsia="Times New Roman"/>
          <w:bCs/>
          <w:lang w:eastAsia="en-GB"/>
        </w:rPr>
        <w:t xml:space="preserve"> Netherlands</w:t>
      </w:r>
    </w:p>
    <w:p w:rsidR="00FB3280" w:rsidRPr="00FB3280" w:rsidRDefault="005651DD" w:rsidP="00FB3280">
      <w:pPr>
        <w:rPr>
          <w:rFonts w:eastAsia="Times New Roman"/>
          <w:bCs/>
          <w:lang w:eastAsia="en-GB"/>
        </w:rPr>
      </w:pPr>
      <w:r>
        <w:rPr>
          <w:b/>
        </w:rPr>
        <w:t>10:30 – 11:00</w:t>
      </w:r>
      <w:r w:rsidR="00FB3280">
        <w:rPr>
          <w:rFonts w:eastAsia="Times New Roman"/>
          <w:bCs/>
          <w:lang w:eastAsia="en-GB"/>
        </w:rPr>
        <w:tab/>
      </w:r>
      <w:r w:rsidR="00FB3280">
        <w:rPr>
          <w:rFonts w:eastAsia="Times New Roman"/>
          <w:bCs/>
          <w:lang w:eastAsia="en-GB"/>
        </w:rPr>
        <w:tab/>
      </w:r>
      <w:r w:rsidR="00FB3280" w:rsidRPr="005651DD">
        <w:rPr>
          <w:rFonts w:eastAsia="Times New Roman"/>
          <w:b/>
          <w:bCs/>
          <w:lang w:eastAsia="en-GB"/>
        </w:rPr>
        <w:t>Coffee break</w:t>
      </w:r>
    </w:p>
    <w:p w:rsidR="009236E5" w:rsidRPr="0054655D" w:rsidRDefault="00FB3280" w:rsidP="0054655D">
      <w:pPr>
        <w:ind w:left="2160" w:hanging="2160"/>
      </w:pPr>
      <w:r>
        <w:rPr>
          <w:b/>
        </w:rPr>
        <w:t>11:00 – 13:0</w:t>
      </w:r>
      <w:r w:rsidR="009236E5" w:rsidRPr="009236E5">
        <w:rPr>
          <w:b/>
        </w:rPr>
        <w:t>0</w:t>
      </w:r>
      <w:r w:rsidR="0054655D">
        <w:tab/>
      </w:r>
      <w:proofErr w:type="gramStart"/>
      <w:r w:rsidR="009236E5" w:rsidRPr="009236E5">
        <w:rPr>
          <w:b/>
        </w:rPr>
        <w:t>How</w:t>
      </w:r>
      <w:proofErr w:type="gramEnd"/>
      <w:r w:rsidR="009236E5" w:rsidRPr="009236E5">
        <w:rPr>
          <w:b/>
        </w:rPr>
        <w:t xml:space="preserve"> can parliamentarians build up parliamen</w:t>
      </w:r>
      <w:r w:rsidR="008C4931">
        <w:rPr>
          <w:b/>
        </w:rPr>
        <w:t xml:space="preserve">tary groups as part of an EU </w:t>
      </w:r>
      <w:r w:rsidR="009236E5" w:rsidRPr="009236E5">
        <w:rPr>
          <w:b/>
        </w:rPr>
        <w:t>parliamentary network?</w:t>
      </w:r>
      <w:r w:rsidR="00CA2033">
        <w:rPr>
          <w:b/>
        </w:rPr>
        <w:t xml:space="preserve">  </w:t>
      </w:r>
      <w:r w:rsidR="0054655D" w:rsidRPr="0054655D">
        <w:t>Panellists:</w:t>
      </w:r>
      <w:r w:rsidR="00CA2033" w:rsidRPr="0054655D">
        <w:t xml:space="preserve"> </w:t>
      </w:r>
      <w:r w:rsidR="0054655D" w:rsidRPr="0054655D">
        <w:t xml:space="preserve"> </w:t>
      </w:r>
      <w:r w:rsidR="00A318E7">
        <w:t xml:space="preserve">Elisabeth </w:t>
      </w:r>
      <w:proofErr w:type="spellStart"/>
      <w:r w:rsidR="00A318E7">
        <w:t>Naucler</w:t>
      </w:r>
      <w:proofErr w:type="spellEnd"/>
      <w:r w:rsidR="00A318E7">
        <w:t xml:space="preserve"> MP (Finland), Maria Cardoso MP (Portugal), </w:t>
      </w:r>
      <w:proofErr w:type="spellStart"/>
      <w:r w:rsidR="007A3EEF">
        <w:t>Athanassios</w:t>
      </w:r>
      <w:proofErr w:type="spellEnd"/>
      <w:r w:rsidR="00A318E7">
        <w:t xml:space="preserve"> </w:t>
      </w:r>
      <w:proofErr w:type="spellStart"/>
      <w:r w:rsidR="00A318E7">
        <w:t>Alevras</w:t>
      </w:r>
      <w:proofErr w:type="spellEnd"/>
      <w:r w:rsidR="00A318E7">
        <w:t xml:space="preserve"> MP (Greece), Robert </w:t>
      </w:r>
      <w:proofErr w:type="spellStart"/>
      <w:r w:rsidR="00A318E7">
        <w:t>Biedron</w:t>
      </w:r>
      <w:proofErr w:type="spellEnd"/>
      <w:r w:rsidR="00A318E7">
        <w:t xml:space="preserve"> MP (Poland), </w:t>
      </w:r>
      <w:proofErr w:type="spellStart"/>
      <w:r w:rsidR="00A318E7">
        <w:t>Ard</w:t>
      </w:r>
      <w:proofErr w:type="spellEnd"/>
      <w:r w:rsidR="00A318E7">
        <w:t xml:space="preserve"> Van Der </w:t>
      </w:r>
      <w:proofErr w:type="spellStart"/>
      <w:r w:rsidR="00A318E7">
        <w:t>Steur</w:t>
      </w:r>
      <w:proofErr w:type="spellEnd"/>
      <w:r w:rsidR="00A318E7">
        <w:t xml:space="preserve"> MP (Netherlands), Senator </w:t>
      </w:r>
      <w:proofErr w:type="spellStart"/>
      <w:r w:rsidR="00A318E7">
        <w:t>Maritati</w:t>
      </w:r>
      <w:proofErr w:type="spellEnd"/>
      <w:r w:rsidR="00A318E7">
        <w:t xml:space="preserve"> (Italy), Peter Bone MP (UK), Lord McColl (UK), Anna Lo MLA (UK), Michael </w:t>
      </w:r>
      <w:proofErr w:type="spellStart"/>
      <w:r w:rsidR="00A318E7">
        <w:t>Connarty</w:t>
      </w:r>
      <w:proofErr w:type="spellEnd"/>
      <w:r w:rsidR="00A318E7">
        <w:t xml:space="preserve"> MP (UK)</w:t>
      </w:r>
    </w:p>
    <w:p w:rsidR="009236E5" w:rsidRDefault="00FB3280" w:rsidP="009236E5">
      <w:r>
        <w:tab/>
      </w:r>
      <w:r>
        <w:tab/>
      </w:r>
      <w:r>
        <w:tab/>
        <w:t>Panel discussion followed by Q&amp;A session</w:t>
      </w:r>
    </w:p>
    <w:p w:rsidR="00FB3280" w:rsidRDefault="00FB3280" w:rsidP="00FB3280">
      <w:pPr>
        <w:ind w:left="1440" w:firstLine="720"/>
      </w:pPr>
      <w:r>
        <w:t xml:space="preserve">Panel Discussion </w:t>
      </w:r>
      <w:r w:rsidR="008C4931">
        <w:t>Chair:</w:t>
      </w:r>
      <w:r w:rsidR="00940D4C">
        <w:t xml:space="preserve">  </w:t>
      </w:r>
      <w:proofErr w:type="gramStart"/>
      <w:r w:rsidR="00940D4C">
        <w:t xml:space="preserve">Mr </w:t>
      </w:r>
      <w:r w:rsidR="0054655D">
        <w:t xml:space="preserve"> </w:t>
      </w:r>
      <w:r w:rsidR="00A96F8D">
        <w:t>Flori</w:t>
      </w:r>
      <w:r w:rsidR="007A3EEF">
        <w:t>n</w:t>
      </w:r>
      <w:proofErr w:type="gramEnd"/>
      <w:r w:rsidR="007A3EEF">
        <w:t xml:space="preserve"> </w:t>
      </w:r>
      <w:proofErr w:type="spellStart"/>
      <w:r w:rsidR="007A3EEF">
        <w:t>Paslaru</w:t>
      </w:r>
      <w:proofErr w:type="spellEnd"/>
      <w:r w:rsidR="00D30447">
        <w:t xml:space="preserve"> MP</w:t>
      </w:r>
      <w:r w:rsidR="00A2310D">
        <w:t>, Romania</w:t>
      </w:r>
    </w:p>
    <w:p w:rsidR="00107048" w:rsidRDefault="00FB3280" w:rsidP="00FB3280">
      <w:pPr>
        <w:ind w:left="2160" w:hanging="2160"/>
      </w:pPr>
      <w:r>
        <w:rPr>
          <w:b/>
        </w:rPr>
        <w:t>13</w:t>
      </w:r>
      <w:r w:rsidR="009236E5" w:rsidRPr="009236E5">
        <w:rPr>
          <w:b/>
        </w:rPr>
        <w:t>:</w:t>
      </w:r>
      <w:r>
        <w:rPr>
          <w:b/>
        </w:rPr>
        <w:t>0</w:t>
      </w:r>
      <w:r w:rsidR="009236E5" w:rsidRPr="009236E5">
        <w:rPr>
          <w:b/>
        </w:rPr>
        <w:t>0 – 1</w:t>
      </w:r>
      <w:r>
        <w:rPr>
          <w:b/>
        </w:rPr>
        <w:t>4</w:t>
      </w:r>
      <w:r w:rsidR="009236E5" w:rsidRPr="009236E5">
        <w:rPr>
          <w:b/>
        </w:rPr>
        <w:t>:</w:t>
      </w:r>
      <w:r>
        <w:rPr>
          <w:b/>
        </w:rPr>
        <w:t>3</w:t>
      </w:r>
      <w:r w:rsidR="009236E5" w:rsidRPr="009236E5">
        <w:rPr>
          <w:b/>
        </w:rPr>
        <w:t>0</w:t>
      </w:r>
      <w:r w:rsidR="009236E5" w:rsidRPr="009236E5">
        <w:rPr>
          <w:b/>
        </w:rPr>
        <w:tab/>
      </w:r>
      <w:r>
        <w:rPr>
          <w:b/>
        </w:rPr>
        <w:t>Lunch break</w:t>
      </w:r>
    </w:p>
    <w:p w:rsidR="008043C8" w:rsidRDefault="00FB3280" w:rsidP="009236E5">
      <w:pPr>
        <w:ind w:left="2160" w:hanging="2160"/>
        <w:rPr>
          <w:b/>
        </w:rPr>
      </w:pPr>
      <w:r>
        <w:rPr>
          <w:b/>
        </w:rPr>
        <w:t>14</w:t>
      </w:r>
      <w:r w:rsidR="009236E5" w:rsidRPr="009236E5">
        <w:rPr>
          <w:b/>
        </w:rPr>
        <w:t>:</w:t>
      </w:r>
      <w:r>
        <w:rPr>
          <w:b/>
        </w:rPr>
        <w:t>3</w:t>
      </w:r>
      <w:r w:rsidR="009236E5" w:rsidRPr="009236E5">
        <w:rPr>
          <w:b/>
        </w:rPr>
        <w:t>0 – 1</w:t>
      </w:r>
      <w:r>
        <w:rPr>
          <w:b/>
        </w:rPr>
        <w:t>5</w:t>
      </w:r>
      <w:r w:rsidR="009236E5" w:rsidRPr="009236E5">
        <w:rPr>
          <w:b/>
        </w:rPr>
        <w:t>:</w:t>
      </w:r>
      <w:r>
        <w:rPr>
          <w:b/>
        </w:rPr>
        <w:t>30</w:t>
      </w:r>
      <w:r w:rsidR="008043C8">
        <w:rPr>
          <w:b/>
        </w:rPr>
        <w:t xml:space="preserve"> </w:t>
      </w:r>
      <w:r w:rsidR="009236E5" w:rsidRPr="009236E5">
        <w:rPr>
          <w:b/>
        </w:rPr>
        <w:tab/>
      </w:r>
      <w:r w:rsidR="00A318E7">
        <w:rPr>
          <w:b/>
        </w:rPr>
        <w:t xml:space="preserve">Countries overview: </w:t>
      </w:r>
      <w:r w:rsidR="008C4931">
        <w:rPr>
          <w:b/>
        </w:rPr>
        <w:t xml:space="preserve">What has been done thus far in order to </w:t>
      </w:r>
      <w:r w:rsidR="008C4931" w:rsidRPr="009236E5">
        <w:rPr>
          <w:b/>
        </w:rPr>
        <w:t xml:space="preserve">establish </w:t>
      </w:r>
      <w:r w:rsidR="001025B8" w:rsidRPr="009236E5">
        <w:rPr>
          <w:b/>
        </w:rPr>
        <w:t xml:space="preserve">awareness </w:t>
      </w:r>
      <w:r w:rsidR="001025B8">
        <w:rPr>
          <w:b/>
        </w:rPr>
        <w:t>of</w:t>
      </w:r>
      <w:r w:rsidR="00212B63">
        <w:rPr>
          <w:b/>
        </w:rPr>
        <w:t xml:space="preserve"> </w:t>
      </w:r>
      <w:r w:rsidR="008C4931" w:rsidRPr="009236E5">
        <w:rPr>
          <w:b/>
        </w:rPr>
        <w:t>parliamentary groups in the</w:t>
      </w:r>
      <w:r w:rsidR="00212B63">
        <w:rPr>
          <w:b/>
        </w:rPr>
        <w:t xml:space="preserve"> P</w:t>
      </w:r>
      <w:r w:rsidR="008C4931" w:rsidRPr="009236E5">
        <w:rPr>
          <w:b/>
        </w:rPr>
        <w:t>arliaments</w:t>
      </w:r>
      <w:r w:rsidR="008C4931">
        <w:rPr>
          <w:b/>
        </w:rPr>
        <w:t xml:space="preserve"> of participating </w:t>
      </w:r>
      <w:r w:rsidR="0054655D">
        <w:rPr>
          <w:b/>
        </w:rPr>
        <w:t>countries?</w:t>
      </w:r>
      <w:r w:rsidR="008C4931">
        <w:rPr>
          <w:b/>
        </w:rPr>
        <w:t xml:space="preserve"> </w:t>
      </w:r>
    </w:p>
    <w:p w:rsidR="00297628" w:rsidRPr="0054655D" w:rsidRDefault="009236E5" w:rsidP="00297628">
      <w:pPr>
        <w:ind w:left="2160"/>
      </w:pPr>
      <w:r w:rsidRPr="008C4931">
        <w:t xml:space="preserve">Panellists: </w:t>
      </w:r>
      <w:r w:rsidR="00297628">
        <w:t xml:space="preserve">Elisabeth </w:t>
      </w:r>
      <w:proofErr w:type="spellStart"/>
      <w:r w:rsidR="00297628">
        <w:t>Naucler</w:t>
      </w:r>
      <w:proofErr w:type="spellEnd"/>
      <w:r w:rsidR="00297628">
        <w:t xml:space="preserve"> MP (Finland), Maria Cardoso MP (Portugal), </w:t>
      </w:r>
      <w:proofErr w:type="spellStart"/>
      <w:r w:rsidR="00275AFF">
        <w:t>Athanassios</w:t>
      </w:r>
      <w:proofErr w:type="spellEnd"/>
      <w:r w:rsidR="00297628">
        <w:t xml:space="preserve"> </w:t>
      </w:r>
      <w:proofErr w:type="spellStart"/>
      <w:r w:rsidR="00297628">
        <w:t>Alevras</w:t>
      </w:r>
      <w:proofErr w:type="spellEnd"/>
      <w:r w:rsidR="00297628">
        <w:t xml:space="preserve"> MP (Greece), Robert </w:t>
      </w:r>
      <w:proofErr w:type="spellStart"/>
      <w:r w:rsidR="00297628">
        <w:t>Biedron</w:t>
      </w:r>
      <w:proofErr w:type="spellEnd"/>
      <w:r w:rsidR="00297628">
        <w:t xml:space="preserve"> MP (Poland), </w:t>
      </w:r>
      <w:proofErr w:type="spellStart"/>
      <w:r w:rsidR="00297628">
        <w:t>Ard</w:t>
      </w:r>
      <w:proofErr w:type="spellEnd"/>
      <w:r w:rsidR="00297628">
        <w:t xml:space="preserve"> Van Der </w:t>
      </w:r>
      <w:proofErr w:type="spellStart"/>
      <w:r w:rsidR="00297628">
        <w:t>Steur</w:t>
      </w:r>
      <w:proofErr w:type="spellEnd"/>
      <w:r w:rsidR="00297628">
        <w:t xml:space="preserve"> MP (Netherlands), Senator </w:t>
      </w:r>
      <w:proofErr w:type="spellStart"/>
      <w:r w:rsidR="00297628">
        <w:t>Maritati</w:t>
      </w:r>
      <w:proofErr w:type="spellEnd"/>
      <w:r w:rsidR="00297628">
        <w:t xml:space="preserve"> (Italy), Lord McColl (UK), Anna Lo MLA (UK), Michael </w:t>
      </w:r>
      <w:proofErr w:type="spellStart"/>
      <w:r w:rsidR="00297628">
        <w:t>Connarty</w:t>
      </w:r>
      <w:proofErr w:type="spellEnd"/>
      <w:r w:rsidR="00297628">
        <w:t xml:space="preserve"> MP (UK), Florin </w:t>
      </w:r>
      <w:proofErr w:type="spellStart"/>
      <w:r w:rsidR="00297628">
        <w:t>Paslaru</w:t>
      </w:r>
      <w:proofErr w:type="spellEnd"/>
      <w:r w:rsidR="00297628">
        <w:t xml:space="preserve"> MP (Romania)</w:t>
      </w:r>
    </w:p>
    <w:p w:rsidR="009236E5" w:rsidRPr="008C4931" w:rsidRDefault="0054655D" w:rsidP="00297628">
      <w:pPr>
        <w:ind w:left="1440" w:firstLine="720"/>
      </w:pPr>
      <w:r>
        <w:t xml:space="preserve">Chair:  </w:t>
      </w:r>
      <w:r w:rsidRPr="009236E5">
        <w:t>Peter Bone MP, Co-Chair, APPG on Human Trafficking</w:t>
      </w:r>
    </w:p>
    <w:p w:rsidR="009236E5" w:rsidRPr="009236E5" w:rsidRDefault="009236E5" w:rsidP="008043C8">
      <w:pPr>
        <w:spacing w:after="0" w:line="240" w:lineRule="auto"/>
        <w:rPr>
          <w:i/>
        </w:rPr>
      </w:pPr>
    </w:p>
    <w:p w:rsidR="0054655D" w:rsidRDefault="009236E5" w:rsidP="008043C8">
      <w:pPr>
        <w:ind w:left="2160" w:hanging="2160"/>
        <w:rPr>
          <w:b/>
        </w:rPr>
      </w:pPr>
      <w:r w:rsidRPr="009236E5">
        <w:rPr>
          <w:b/>
        </w:rPr>
        <w:t>1</w:t>
      </w:r>
      <w:r w:rsidR="008043C8">
        <w:rPr>
          <w:b/>
        </w:rPr>
        <w:t>5:30 – 16</w:t>
      </w:r>
      <w:r w:rsidRPr="009236E5">
        <w:rPr>
          <w:b/>
        </w:rPr>
        <w:t>:</w:t>
      </w:r>
      <w:r w:rsidR="008043C8">
        <w:rPr>
          <w:b/>
        </w:rPr>
        <w:t>0</w:t>
      </w:r>
      <w:r w:rsidRPr="009236E5">
        <w:rPr>
          <w:b/>
        </w:rPr>
        <w:t>0</w:t>
      </w:r>
      <w:r w:rsidRPr="009236E5">
        <w:rPr>
          <w:b/>
        </w:rPr>
        <w:tab/>
      </w:r>
      <w:r w:rsidR="008043C8">
        <w:rPr>
          <w:b/>
        </w:rPr>
        <w:t>Co-operation between NGOs and the Nati</w:t>
      </w:r>
      <w:r w:rsidR="00361E09">
        <w:rPr>
          <w:b/>
        </w:rPr>
        <w:t>onal Rapporteu</w:t>
      </w:r>
      <w:r w:rsidR="008043C8">
        <w:rPr>
          <w:b/>
        </w:rPr>
        <w:t xml:space="preserve">r </w:t>
      </w:r>
      <w:r w:rsidR="00212B63">
        <w:rPr>
          <w:b/>
        </w:rPr>
        <w:t>office on</w:t>
      </w:r>
      <w:r w:rsidR="008043C8">
        <w:rPr>
          <w:b/>
        </w:rPr>
        <w:t xml:space="preserve"> anti -trafficking activities</w:t>
      </w:r>
    </w:p>
    <w:p w:rsidR="008043C8" w:rsidRPr="00A2310D" w:rsidRDefault="00A2310D" w:rsidP="0054655D">
      <w:pPr>
        <w:ind w:left="2160"/>
      </w:pPr>
      <w:r>
        <w:t xml:space="preserve">Sandra </w:t>
      </w:r>
      <w:proofErr w:type="spellStart"/>
      <w:r>
        <w:t>Classen</w:t>
      </w:r>
      <w:proofErr w:type="spellEnd"/>
      <w:r>
        <w:t xml:space="preserve"> (</w:t>
      </w:r>
      <w:proofErr w:type="spellStart"/>
      <w:r>
        <w:t>Blinn</w:t>
      </w:r>
      <w:proofErr w:type="spellEnd"/>
      <w:r>
        <w:t xml:space="preserve">), Bas De </w:t>
      </w:r>
      <w:proofErr w:type="spellStart"/>
      <w:r>
        <w:t>Visser</w:t>
      </w:r>
      <w:proofErr w:type="spellEnd"/>
      <w:r>
        <w:t xml:space="preserve"> (</w:t>
      </w:r>
      <w:proofErr w:type="spellStart"/>
      <w:r>
        <w:t>Comensha</w:t>
      </w:r>
      <w:proofErr w:type="spellEnd"/>
      <w:r>
        <w:t>)</w:t>
      </w:r>
      <w:r w:rsidR="006437BF" w:rsidRPr="00A2310D">
        <w:t xml:space="preserve">, </w:t>
      </w:r>
      <w:r>
        <w:t xml:space="preserve">Theo </w:t>
      </w:r>
      <w:proofErr w:type="spellStart"/>
      <w:r>
        <w:t>Noten</w:t>
      </w:r>
      <w:proofErr w:type="spellEnd"/>
      <w:r>
        <w:t xml:space="preserve"> (ECPAT Netherlands)</w:t>
      </w:r>
      <w:r w:rsidR="00D31AE1" w:rsidRPr="00A2310D">
        <w:t xml:space="preserve">, </w:t>
      </w:r>
      <w:r>
        <w:t>Jaana Kauppinen (Pro Centre Finland)</w:t>
      </w:r>
    </w:p>
    <w:p w:rsidR="009236E5" w:rsidRDefault="008043C8" w:rsidP="001416F2">
      <w:pPr>
        <w:ind w:left="1440" w:firstLine="720"/>
      </w:pPr>
      <w:r w:rsidRPr="0054655D">
        <w:t>Presentation by NGOs and discussion</w:t>
      </w:r>
      <w:bookmarkStart w:id="0" w:name="_GoBack"/>
      <w:bookmarkEnd w:id="0"/>
    </w:p>
    <w:p w:rsidR="0054655D" w:rsidRPr="0054655D" w:rsidRDefault="007A3EEF" w:rsidP="008043C8">
      <w:pPr>
        <w:ind w:left="2160" w:hanging="2160"/>
      </w:pPr>
      <w:r>
        <w:tab/>
        <w:t xml:space="preserve">Chair: </w:t>
      </w:r>
      <w:proofErr w:type="spellStart"/>
      <w:r>
        <w:t>Marieke</w:t>
      </w:r>
      <w:proofErr w:type="spellEnd"/>
      <w:r>
        <w:t xml:space="preserve"> van </w:t>
      </w:r>
      <w:proofErr w:type="spellStart"/>
      <w:r w:rsidRPr="00E120ED">
        <w:t>Dorninc</w:t>
      </w:r>
      <w:r w:rsidR="00E120ED" w:rsidRPr="00E120ED">
        <w:t>k</w:t>
      </w:r>
      <w:proofErr w:type="spellEnd"/>
      <w:r w:rsidR="00D31AE1" w:rsidRPr="00E120ED">
        <w:t>,</w:t>
      </w:r>
      <w:r w:rsidR="00D31AE1">
        <w:rPr>
          <w:b/>
        </w:rPr>
        <w:t xml:space="preserve"> </w:t>
      </w:r>
      <w:r w:rsidR="00D31AE1" w:rsidRPr="00D31AE1">
        <w:t xml:space="preserve">La </w:t>
      </w:r>
      <w:proofErr w:type="spellStart"/>
      <w:r w:rsidR="00D31AE1" w:rsidRPr="00D31AE1">
        <w:t>Strada</w:t>
      </w:r>
      <w:proofErr w:type="spellEnd"/>
      <w:r w:rsidR="00D31AE1" w:rsidRPr="00D31AE1">
        <w:t xml:space="preserve"> International</w:t>
      </w:r>
    </w:p>
    <w:p w:rsidR="009236E5" w:rsidRPr="005651DD" w:rsidRDefault="008043C8" w:rsidP="005651DD">
      <w:pPr>
        <w:ind w:left="2160" w:hanging="2160"/>
      </w:pPr>
      <w:r>
        <w:rPr>
          <w:b/>
        </w:rPr>
        <w:lastRenderedPageBreak/>
        <w:t>16</w:t>
      </w:r>
      <w:r w:rsidR="009236E5" w:rsidRPr="009236E5">
        <w:rPr>
          <w:b/>
        </w:rPr>
        <w:t>:</w:t>
      </w:r>
      <w:r>
        <w:rPr>
          <w:b/>
        </w:rPr>
        <w:t>0</w:t>
      </w:r>
      <w:r w:rsidR="009236E5" w:rsidRPr="009236E5">
        <w:rPr>
          <w:b/>
        </w:rPr>
        <w:t>0 – 1</w:t>
      </w:r>
      <w:r>
        <w:rPr>
          <w:b/>
        </w:rPr>
        <w:t>6</w:t>
      </w:r>
      <w:r w:rsidR="009236E5" w:rsidRPr="009236E5">
        <w:rPr>
          <w:b/>
        </w:rPr>
        <w:t>:</w:t>
      </w:r>
      <w:r w:rsidR="005651DD">
        <w:rPr>
          <w:b/>
        </w:rPr>
        <w:t>30</w:t>
      </w:r>
      <w:r w:rsidR="005651DD">
        <w:rPr>
          <w:b/>
        </w:rPr>
        <w:tab/>
      </w:r>
      <w:r w:rsidR="00D36F9F">
        <w:rPr>
          <w:b/>
        </w:rPr>
        <w:t>Eval</w:t>
      </w:r>
      <w:r>
        <w:rPr>
          <w:b/>
        </w:rPr>
        <w:t>uation of the meeting</w:t>
      </w:r>
    </w:p>
    <w:p w:rsidR="009236E5" w:rsidRDefault="008043C8" w:rsidP="009236E5">
      <w:pPr>
        <w:rPr>
          <w:b/>
        </w:rPr>
      </w:pPr>
      <w:r>
        <w:rPr>
          <w:b/>
        </w:rPr>
        <w:t>16</w:t>
      </w:r>
      <w:r w:rsidR="009236E5" w:rsidRPr="009236E5">
        <w:rPr>
          <w:b/>
        </w:rPr>
        <w:t>:</w:t>
      </w:r>
      <w:r>
        <w:rPr>
          <w:b/>
        </w:rPr>
        <w:t>3</w:t>
      </w:r>
      <w:r w:rsidR="009236E5" w:rsidRPr="009236E5">
        <w:rPr>
          <w:b/>
        </w:rPr>
        <w:t>0 – 1</w:t>
      </w:r>
      <w:r>
        <w:rPr>
          <w:b/>
        </w:rPr>
        <w:t>7</w:t>
      </w:r>
      <w:r w:rsidR="009236E5" w:rsidRPr="009236E5">
        <w:rPr>
          <w:b/>
        </w:rPr>
        <w:t>:</w:t>
      </w:r>
      <w:r>
        <w:rPr>
          <w:b/>
        </w:rPr>
        <w:t>0</w:t>
      </w:r>
      <w:r w:rsidR="009236E5" w:rsidRPr="009236E5">
        <w:rPr>
          <w:b/>
        </w:rPr>
        <w:t>0</w:t>
      </w:r>
      <w:r w:rsidR="009236E5" w:rsidRPr="009236E5">
        <w:rPr>
          <w:b/>
        </w:rPr>
        <w:tab/>
      </w:r>
      <w:r w:rsidR="009236E5" w:rsidRPr="009236E5">
        <w:rPr>
          <w:b/>
        </w:rPr>
        <w:tab/>
      </w:r>
      <w:r>
        <w:rPr>
          <w:b/>
        </w:rPr>
        <w:t>Co</w:t>
      </w:r>
      <w:r w:rsidR="00212B63">
        <w:rPr>
          <w:b/>
        </w:rPr>
        <w:t>nclusions and follow-</w:t>
      </w:r>
      <w:r w:rsidR="009236E5" w:rsidRPr="009236E5">
        <w:rPr>
          <w:b/>
        </w:rPr>
        <w:t>up plans</w:t>
      </w:r>
    </w:p>
    <w:p w:rsidR="00065EFC" w:rsidRDefault="00065EFC" w:rsidP="009236E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65EFC">
        <w:t>By Anthony Steen, Chairman, Human Trafficking Foundation</w:t>
      </w:r>
    </w:p>
    <w:p w:rsidR="00940D4C" w:rsidRDefault="00940D4C" w:rsidP="009236E5">
      <w:r>
        <w:tab/>
      </w:r>
      <w:r>
        <w:tab/>
      </w:r>
      <w:r>
        <w:tab/>
        <w:t>Christine Beddoe, Director, ECPAT UK</w:t>
      </w:r>
    </w:p>
    <w:p w:rsidR="008043C8" w:rsidRPr="00065EFC" w:rsidRDefault="008043C8" w:rsidP="008043C8">
      <w:pPr>
        <w:ind w:left="1440" w:firstLine="720"/>
      </w:pPr>
      <w:r>
        <w:t xml:space="preserve">Stana Buchowska, </w:t>
      </w:r>
      <w:r w:rsidR="00212B63">
        <w:t>P</w:t>
      </w:r>
      <w:r>
        <w:t xml:space="preserve">roject </w:t>
      </w:r>
      <w:r w:rsidR="00212B63">
        <w:t>C</w:t>
      </w:r>
      <w:r>
        <w:t>o</w:t>
      </w:r>
      <w:r w:rsidR="00212B63">
        <w:t>-</w:t>
      </w:r>
      <w:r>
        <w:t>ordinator</w:t>
      </w:r>
    </w:p>
    <w:p w:rsidR="009236E5" w:rsidRPr="00863257" w:rsidRDefault="009236E5" w:rsidP="009236E5">
      <w:pPr>
        <w:rPr>
          <w:b/>
        </w:rPr>
      </w:pPr>
      <w:r w:rsidRPr="009236E5">
        <w:tab/>
      </w:r>
      <w:r w:rsidRPr="009236E5">
        <w:tab/>
      </w:r>
      <w:r w:rsidRPr="009236E5">
        <w:tab/>
      </w:r>
      <w:r w:rsidRPr="00863257">
        <w:rPr>
          <w:b/>
        </w:rPr>
        <w:t>End of the seminar</w:t>
      </w:r>
    </w:p>
    <w:p w:rsidR="008043C8" w:rsidRDefault="008043C8" w:rsidP="008043C8">
      <w:pPr>
        <w:rPr>
          <w:b/>
        </w:rPr>
      </w:pPr>
    </w:p>
    <w:p w:rsidR="00961E30" w:rsidRPr="00C622C0" w:rsidRDefault="009236E5" w:rsidP="00961E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>
      <w:pPr>
        <w:tabs>
          <w:tab w:val="left" w:pos="2235"/>
        </w:tabs>
      </w:pPr>
      <w:r>
        <w:tab/>
      </w:r>
    </w:p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Default="00961E30" w:rsidP="00961E30"/>
    <w:p w:rsidR="00063711" w:rsidRPr="00961E30" w:rsidRDefault="00961E30" w:rsidP="00961E30">
      <w:pPr>
        <w:tabs>
          <w:tab w:val="left" w:pos="3105"/>
        </w:tabs>
      </w:pPr>
      <w:r>
        <w:tab/>
      </w:r>
    </w:p>
    <w:sectPr w:rsidR="00063711" w:rsidRPr="00961E30" w:rsidSect="004569D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F6" w:rsidRDefault="00A61DF6" w:rsidP="00961E30">
      <w:pPr>
        <w:spacing w:after="0" w:line="240" w:lineRule="auto"/>
      </w:pPr>
      <w:r>
        <w:separator/>
      </w:r>
    </w:p>
  </w:endnote>
  <w:endnote w:type="continuationSeparator" w:id="0">
    <w:p w:rsidR="00A61DF6" w:rsidRDefault="00A61DF6" w:rsidP="0096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-1026" w:tblpY="-19"/>
      <w:tblW w:w="11448" w:type="dxa"/>
      <w:tblLook w:val="04A0" w:firstRow="1" w:lastRow="0" w:firstColumn="1" w:lastColumn="0" w:noHBand="0" w:noVBand="1"/>
    </w:tblPr>
    <w:tblGrid>
      <w:gridCol w:w="250"/>
      <w:gridCol w:w="11198"/>
    </w:tblGrid>
    <w:tr w:rsidR="0037586B" w:rsidRPr="0057432B" w:rsidTr="00D950B0">
      <w:tc>
        <w:tcPr>
          <w:tcW w:w="250" w:type="dxa"/>
          <w:shd w:val="clear" w:color="auto" w:fill="auto"/>
        </w:tcPr>
        <w:p w:rsidR="0037586B" w:rsidRPr="0057432B" w:rsidRDefault="0037586B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37586B" w:rsidRPr="0057432B" w:rsidRDefault="0037586B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37586B" w:rsidRDefault="0037586B" w:rsidP="00A379A2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37586B" w:rsidRPr="0057432B" w:rsidRDefault="0037586B" w:rsidP="00D950B0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</w:pPr>
        </w:p>
      </w:tc>
      <w:tc>
        <w:tcPr>
          <w:tcW w:w="11198" w:type="dxa"/>
          <w:shd w:val="clear" w:color="auto" w:fill="auto"/>
        </w:tcPr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57432B" w:rsidRDefault="00CE5AF4" w:rsidP="00D950B0">
          <w:pPr>
            <w:tabs>
              <w:tab w:val="left" w:pos="435"/>
              <w:tab w:val="center" w:pos="279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476250" cy="323850"/>
                <wp:effectExtent l="19050" t="0" r="0" b="0"/>
                <wp:docPr id="9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961E30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With the financial support from the Prevention of and Fight against Crime Programme of the European Union,</w:t>
          </w: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 xml:space="preserve">European Commission – Directorate-General Home Affairs </w:t>
          </w: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57432B" w:rsidRDefault="00CE5AF4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647700" cy="152400"/>
                <wp:effectExtent l="19050" t="0" r="0" b="0"/>
                <wp:docPr id="10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and the Tudor Trust</w:t>
          </w:r>
        </w:p>
        <w:p w:rsidR="0037586B" w:rsidRPr="0057432B" w:rsidRDefault="0037586B" w:rsidP="0057432B">
          <w:pPr>
            <w:spacing w:after="0" w:line="240" w:lineRule="auto"/>
          </w:pPr>
        </w:p>
      </w:tc>
    </w:tr>
  </w:tbl>
  <w:p w:rsidR="0037586B" w:rsidRDefault="0037586B" w:rsidP="00961E30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sz w:val="12"/>
        <w:szCs w:val="12"/>
        <w:lang w:eastAsia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F6" w:rsidRDefault="00A61DF6" w:rsidP="00961E30">
      <w:pPr>
        <w:spacing w:after="0" w:line="240" w:lineRule="auto"/>
      </w:pPr>
      <w:r>
        <w:separator/>
      </w:r>
    </w:p>
  </w:footnote>
  <w:footnote w:type="continuationSeparator" w:id="0">
    <w:p w:rsidR="00A61DF6" w:rsidRDefault="00A61DF6" w:rsidP="0096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6B" w:rsidRDefault="00CE5AF4" w:rsidP="00961E30">
    <w:r>
      <w:rPr>
        <w:noProof/>
        <w:lang w:eastAsia="en-GB"/>
      </w:rPr>
      <w:drawing>
        <wp:inline distT="0" distB="0" distL="0" distR="0">
          <wp:extent cx="533400" cy="266700"/>
          <wp:effectExtent l="19050" t="0" r="0" b="0"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586B"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>
          <wp:extent cx="352425" cy="409575"/>
          <wp:effectExtent l="19050" t="0" r="9525" b="0"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586B"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>
          <wp:extent cx="323850" cy="314325"/>
          <wp:effectExtent l="19050" t="0" r="0" b="0"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586B">
      <w:rPr>
        <w:noProof/>
        <w:lang w:eastAsia="en-GB"/>
      </w:rPr>
      <w:t xml:space="preserve">        </w:t>
    </w:r>
    <w:r>
      <w:rPr>
        <w:noProof/>
        <w:lang w:eastAsia="en-GB"/>
      </w:rPr>
      <w:drawing>
        <wp:inline distT="0" distB="0" distL="0" distR="0">
          <wp:extent cx="209550" cy="361950"/>
          <wp:effectExtent l="19050" t="0" r="0" b="0"/>
          <wp:docPr id="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586B"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>
          <wp:extent cx="1181100" cy="257175"/>
          <wp:effectExtent l="19050" t="0" r="0" b="0"/>
          <wp:docPr id="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7BB9">
      <w:rPr>
        <w:noProof/>
        <w:lang w:eastAsia="en-GB"/>
      </w:rPr>
      <w:t xml:space="preserve">    </w:t>
    </w:r>
    <w:r w:rsidR="0037586B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>
          <wp:extent cx="1152525" cy="352425"/>
          <wp:effectExtent l="19050" t="0" r="9525" b="0"/>
          <wp:docPr id="7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52450" cy="742950"/>
          <wp:effectExtent l="19050" t="0" r="0" b="0"/>
          <wp:docPr id="8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586B" w:rsidRDefault="003758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0D9D"/>
    <w:multiLevelType w:val="hybridMultilevel"/>
    <w:tmpl w:val="5A5AAF0E"/>
    <w:lvl w:ilvl="0" w:tplc="8A94B4F2">
      <w:start w:val="1"/>
      <w:numFmt w:val="decimal"/>
      <w:lvlText w:val="%1."/>
      <w:lvlJc w:val="left"/>
      <w:pPr>
        <w:ind w:left="256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6E5"/>
    <w:rsid w:val="00015BF5"/>
    <w:rsid w:val="00016C9A"/>
    <w:rsid w:val="00024960"/>
    <w:rsid w:val="00024DF9"/>
    <w:rsid w:val="0004366E"/>
    <w:rsid w:val="00063711"/>
    <w:rsid w:val="00065EFC"/>
    <w:rsid w:val="000F7EAC"/>
    <w:rsid w:val="001025B8"/>
    <w:rsid w:val="00107048"/>
    <w:rsid w:val="001416F2"/>
    <w:rsid w:val="00155F9E"/>
    <w:rsid w:val="002042E0"/>
    <w:rsid w:val="00212B63"/>
    <w:rsid w:val="00221C9F"/>
    <w:rsid w:val="00221CF8"/>
    <w:rsid w:val="00275AFF"/>
    <w:rsid w:val="002972CC"/>
    <w:rsid w:val="00297628"/>
    <w:rsid w:val="002B3A11"/>
    <w:rsid w:val="002E24D1"/>
    <w:rsid w:val="00361E09"/>
    <w:rsid w:val="00374BF1"/>
    <w:rsid w:val="0037586B"/>
    <w:rsid w:val="00377BB9"/>
    <w:rsid w:val="003A5766"/>
    <w:rsid w:val="003E5130"/>
    <w:rsid w:val="00452953"/>
    <w:rsid w:val="004569D8"/>
    <w:rsid w:val="004847F5"/>
    <w:rsid w:val="004C6A66"/>
    <w:rsid w:val="004C757E"/>
    <w:rsid w:val="00534D17"/>
    <w:rsid w:val="0054655D"/>
    <w:rsid w:val="005651DD"/>
    <w:rsid w:val="0057432B"/>
    <w:rsid w:val="005C0E1E"/>
    <w:rsid w:val="005D4CF7"/>
    <w:rsid w:val="006437BF"/>
    <w:rsid w:val="00643F44"/>
    <w:rsid w:val="006B43B5"/>
    <w:rsid w:val="006B6E09"/>
    <w:rsid w:val="0073051B"/>
    <w:rsid w:val="00766D05"/>
    <w:rsid w:val="007A3EEF"/>
    <w:rsid w:val="007C610A"/>
    <w:rsid w:val="007E3B2A"/>
    <w:rsid w:val="008043C8"/>
    <w:rsid w:val="00810C3C"/>
    <w:rsid w:val="00825B28"/>
    <w:rsid w:val="00863257"/>
    <w:rsid w:val="00885826"/>
    <w:rsid w:val="008C1E22"/>
    <w:rsid w:val="008C4931"/>
    <w:rsid w:val="009033D3"/>
    <w:rsid w:val="009236E5"/>
    <w:rsid w:val="00940D4C"/>
    <w:rsid w:val="00961E30"/>
    <w:rsid w:val="0097724A"/>
    <w:rsid w:val="009C787A"/>
    <w:rsid w:val="00A01C18"/>
    <w:rsid w:val="00A2310D"/>
    <w:rsid w:val="00A318E7"/>
    <w:rsid w:val="00A379A2"/>
    <w:rsid w:val="00A61DF6"/>
    <w:rsid w:val="00A96F8D"/>
    <w:rsid w:val="00AD5DF0"/>
    <w:rsid w:val="00AE2EBD"/>
    <w:rsid w:val="00B5014F"/>
    <w:rsid w:val="00BC498F"/>
    <w:rsid w:val="00BD5655"/>
    <w:rsid w:val="00C179AB"/>
    <w:rsid w:val="00C622C0"/>
    <w:rsid w:val="00C70F51"/>
    <w:rsid w:val="00CA2033"/>
    <w:rsid w:val="00CE5AF4"/>
    <w:rsid w:val="00D30447"/>
    <w:rsid w:val="00D31AE1"/>
    <w:rsid w:val="00D35A9C"/>
    <w:rsid w:val="00D36F9F"/>
    <w:rsid w:val="00D4001D"/>
    <w:rsid w:val="00D4399E"/>
    <w:rsid w:val="00D73F22"/>
    <w:rsid w:val="00D950B0"/>
    <w:rsid w:val="00E120ED"/>
    <w:rsid w:val="00E44CBE"/>
    <w:rsid w:val="00EC15FE"/>
    <w:rsid w:val="00EE7829"/>
    <w:rsid w:val="00F67CE7"/>
    <w:rsid w:val="00FB3280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B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FB3280"/>
    <w:rPr>
      <w:rFonts w:ascii="Times New Roman" w:eastAsia="Times New Roman" w:hAnsi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972C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gif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F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C2FD-7993-46AD-A714-520C0B6A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13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HTF</dc:creator>
  <cp:keywords/>
  <cp:lastModifiedBy>HTF</cp:lastModifiedBy>
  <cp:revision>12</cp:revision>
  <cp:lastPrinted>2011-11-22T15:33:00Z</cp:lastPrinted>
  <dcterms:created xsi:type="dcterms:W3CDTF">2012-01-17T14:06:00Z</dcterms:created>
  <dcterms:modified xsi:type="dcterms:W3CDTF">2012-01-20T14:06:00Z</dcterms:modified>
</cp:coreProperties>
</file>